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61CCCE9A"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 xml:space="preserve">: </w:t>
      </w:r>
      <w:r w:rsidR="004223EE" w:rsidRPr="004223EE">
        <w:rPr>
          <w:rFonts w:ascii="Times New Roman" w:eastAsia="Times New Roman" w:hAnsi="Times New Roman" w:cs="Times New Roman"/>
          <w:lang w:eastAsia="ar-SA"/>
        </w:rPr>
        <w:t>2021326</w:t>
      </w:r>
      <w:bookmarkStart w:id="1" w:name="_GoBack"/>
      <w:bookmarkEnd w:id="1"/>
      <w:r w:rsidR="004223EE" w:rsidRPr="004223EE">
        <w:rPr>
          <w:rFonts w:ascii="Times New Roman" w:eastAsia="Times New Roman" w:hAnsi="Times New Roman" w:cs="Times New Roman"/>
          <w:lang w:eastAsia="ar-SA"/>
        </w:rPr>
        <w:t>21183413270100100430012670465</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3FF45702"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AA0053" w:rsidRPr="00AA0053">
        <w:rPr>
          <w:rFonts w:ascii="Times New Roman" w:eastAsiaTheme="minorEastAsia" w:hAnsi="Times New Roman" w:cs="Times New Roman"/>
          <w:lang w:eastAsia="ru-RU"/>
        </w:rPr>
        <w:t>автоматизированной системы для полировки оптического волокна, коннекторов и пластин</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B0F1BF8"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94457F" w:rsidRPr="002D48A8">
        <w:rPr>
          <w:rFonts w:ascii="Times New Roman" w:eastAsiaTheme="minorEastAsia" w:hAnsi="Times New Roman" w:cs="Times New Roman"/>
          <w:sz w:val="21"/>
          <w:szCs w:val="21"/>
          <w:lang w:eastAsia="ru-RU"/>
        </w:rPr>
        <w:t>через 20 (двадцать)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7352B6E6"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907D83">
        <w:rPr>
          <w:rFonts w:ascii="Times New Roman" w:eastAsiaTheme="minorEastAsia" w:hAnsi="Times New Roman" w:cs="Times New Roman"/>
          <w:sz w:val="21"/>
          <w:szCs w:val="21"/>
          <w:lang w:eastAsia="ru-RU"/>
        </w:rPr>
        <w:t>И</w:t>
      </w:r>
      <w:r w:rsidR="00F534C2" w:rsidRPr="002D48A8">
        <w:rPr>
          <w:rFonts w:ascii="Times New Roman" w:eastAsiaTheme="minorEastAsia" w:hAnsi="Times New Roman" w:cs="Times New Roman"/>
          <w:sz w:val="21"/>
          <w:szCs w:val="21"/>
          <w:lang w:eastAsia="ru-RU"/>
        </w:rPr>
        <w:t>нструктаж сп</w:t>
      </w:r>
      <w:r w:rsidR="00D34927">
        <w:rPr>
          <w:rFonts w:ascii="Times New Roman" w:eastAsiaTheme="minorEastAsia" w:hAnsi="Times New Roman" w:cs="Times New Roman"/>
          <w:sz w:val="21"/>
          <w:szCs w:val="21"/>
          <w:lang w:eastAsia="ru-RU"/>
        </w:rPr>
        <w:t>ециалистов Заказчика осуществляе</w:t>
      </w:r>
      <w:r w:rsidR="00F534C2" w:rsidRPr="002D48A8">
        <w:rPr>
          <w:rFonts w:ascii="Times New Roman" w:eastAsiaTheme="minorEastAsia" w:hAnsi="Times New Roman" w:cs="Times New Roman"/>
          <w:sz w:val="21"/>
          <w:szCs w:val="21"/>
          <w:lang w:eastAsia="ru-RU"/>
        </w:rPr>
        <w:t>тся при доставке Оборудования.</w:t>
      </w:r>
    </w:p>
    <w:p w14:paraId="07252462" w14:textId="41D63336"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F534C2" w:rsidRPr="002D48A8">
        <w:rPr>
          <w:rFonts w:ascii="Times New Roman" w:eastAsiaTheme="minorEastAsia" w:hAnsi="Times New Roman" w:cs="Times New Roman"/>
          <w:sz w:val="21"/>
          <w:szCs w:val="21"/>
          <w:lang w:eastAsia="ru-RU"/>
        </w:rPr>
        <w:t>,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51777F93"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F534C2" w:rsidRPr="0094457F">
        <w:rPr>
          <w:rFonts w:ascii="Times New Roman" w:eastAsiaTheme="minorEastAsia" w:hAnsi="Times New Roman" w:cs="Times New Roman"/>
          <w:lang w:eastAsia="ru-RU"/>
        </w:rPr>
        <w:t>, акта 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13463DEC"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51F60D1A"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 xml:space="preserve">помещение, произвести </w:t>
      </w:r>
      <w:r w:rsidR="002D2E39" w:rsidRPr="0094457F">
        <w:rPr>
          <w:rFonts w:ascii="Times New Roman" w:eastAsiaTheme="minorEastAsia" w:hAnsi="Times New Roman" w:cs="Times New Roman"/>
          <w:lang w:eastAsia="ru-RU"/>
        </w:rPr>
        <w:t>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7617A61"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w:t>
      </w:r>
      <w:r w:rsidR="008D1087" w:rsidRPr="003508B5">
        <w:rPr>
          <w:rFonts w:ascii="Times New Roman" w:eastAsiaTheme="minorEastAsia" w:hAnsi="Times New Roman" w:cs="Times New Roman"/>
          <w:lang w:eastAsia="ru-RU"/>
        </w:rPr>
        <w:lastRenderedPageBreak/>
        <w:t>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lastRenderedPageBreak/>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w:t>
      </w:r>
      <w:r w:rsidRPr="00A2633B">
        <w:rPr>
          <w:rFonts w:ascii="Times New Roman" w:eastAsiaTheme="minorEastAsia" w:hAnsi="Times New Roman" w:cs="Times New Roman"/>
          <w:lang w:eastAsia="ru-RU"/>
        </w:rPr>
        <w:lastRenderedPageBreak/>
        <w:t>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3EF6BB34" w14:textId="4FCC7E14"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2B761C">
        <w:rPr>
          <w:rFonts w:ascii="Times New Roman" w:eastAsiaTheme="minorEastAsia" w:hAnsi="Times New Roman" w:cs="Times New Roman"/>
          <w:sz w:val="23"/>
          <w:szCs w:val="23"/>
          <w:lang w:eastAsia="ru-RU"/>
        </w:rPr>
        <w:t>__________</w:t>
      </w:r>
      <w:r w:rsidR="0094457F" w:rsidRPr="0094457F">
        <w:rPr>
          <w:rFonts w:ascii="Times New Roman" w:eastAsiaTheme="minorEastAsia" w:hAnsi="Times New Roman" w:cs="Times New Roman"/>
          <w:sz w:val="23"/>
          <w:szCs w:val="23"/>
          <w:lang w:eastAsia="ru-RU"/>
        </w:rPr>
        <w:t xml:space="preserve"> руб. (</w:t>
      </w:r>
      <w:r w:rsidR="002B761C">
        <w:rPr>
          <w:rFonts w:ascii="Times New Roman" w:eastAsiaTheme="minorEastAsia" w:hAnsi="Times New Roman" w:cs="Times New Roman"/>
          <w:sz w:val="23"/>
          <w:szCs w:val="23"/>
          <w:lang w:eastAsia="ru-RU"/>
        </w:rPr>
        <w:t>_______</w:t>
      </w:r>
      <w:r w:rsidR="0094457F" w:rsidRPr="0094457F">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что составляет</w:t>
      </w:r>
      <w:r w:rsidR="004B08B8">
        <w:rPr>
          <w:rFonts w:ascii="Times New Roman" w:eastAsiaTheme="minorEastAsia" w:hAnsi="Times New Roman" w:cs="Times New Roman"/>
          <w:sz w:val="23"/>
          <w:szCs w:val="23"/>
          <w:lang w:eastAsia="ru-RU"/>
        </w:rPr>
        <w:t xml:space="preserve"> </w:t>
      </w:r>
      <w:r w:rsidR="001F62A9" w:rsidRPr="0094457F">
        <w:rPr>
          <w:rFonts w:ascii="Times New Roman" w:eastAsiaTheme="minorEastAsia" w:hAnsi="Times New Roman" w:cs="Times New Roman"/>
          <w:sz w:val="23"/>
          <w:szCs w:val="23"/>
          <w:lang w:eastAsia="ru-RU"/>
        </w:rPr>
        <w:t>10</w:t>
      </w:r>
      <w:r w:rsidRPr="0094457F">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от цены Контракта.</w:t>
      </w:r>
    </w:p>
    <w:p w14:paraId="1A788D37" w14:textId="334E0642"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ч. 6 ст. 96 </w:t>
      </w:r>
      <w:bookmarkStart w:id="6" w:name="_Hlk41320619"/>
      <w:r w:rsidRPr="00C756A1">
        <w:rPr>
          <w:rFonts w:ascii="Times New Roman" w:eastAsiaTheme="minorEastAsia" w:hAnsi="Times New Roman" w:cs="Times New Roman"/>
          <w:sz w:val="23"/>
          <w:szCs w:val="23"/>
          <w:lang w:eastAsia="ru-RU"/>
        </w:rPr>
        <w:t xml:space="preserve">Федерального закона от 5 апреля 2013 г. №44-ФЗ </w:t>
      </w:r>
      <w:bookmarkEnd w:id="6"/>
      <w:r w:rsidRPr="00C756A1">
        <w:rPr>
          <w:rFonts w:ascii="Times New Roman" w:eastAsiaTheme="minorEastAsia" w:hAnsi="Times New Roman" w:cs="Times New Roman"/>
          <w:sz w:val="23"/>
          <w:szCs w:val="23"/>
          <w:lang w:eastAsia="ru-RU"/>
        </w:rPr>
        <w:t xml:space="preserve">размер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w:t>
      </w:r>
    </w:p>
    <w:p w14:paraId="1DCE29DC" w14:textId="08219368"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w:t>
      </w:r>
      <w:r w:rsidRPr="003508B5">
        <w:rPr>
          <w:rFonts w:ascii="Times New Roman" w:eastAsiaTheme="minorEastAsia" w:hAnsi="Times New Roman" w:cs="Times New Roman"/>
          <w:sz w:val="23"/>
          <w:szCs w:val="23"/>
          <w:lang w:eastAsia="ru-RU"/>
        </w:rPr>
        <w:t xml:space="preserve">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том числе с учетом положений статьи 37 Федерального закона от 5 апреля 2013 г. №44-ФЗ, </w:t>
      </w:r>
      <w:r w:rsidR="00E840A1" w:rsidRPr="003508B5">
        <w:rPr>
          <w:rFonts w:ascii="Times New Roman" w:eastAsiaTheme="minorEastAsia" w:hAnsi="Times New Roman" w:cs="Times New Roman"/>
          <w:sz w:val="23"/>
          <w:szCs w:val="23"/>
          <w:lang w:eastAsia="ru-RU"/>
        </w:rPr>
        <w:t xml:space="preserve">об обеспечении гарантийных обязательств </w:t>
      </w:r>
      <w:r w:rsidRPr="003508B5">
        <w:rPr>
          <w:rFonts w:ascii="Times New Roman" w:eastAsiaTheme="minorEastAsia" w:hAnsi="Times New Roman" w:cs="Times New Roman"/>
          <w:sz w:val="23"/>
          <w:szCs w:val="23"/>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При этом сумма цен таких контрактов должна составлять не менее начальной (максимальной) цены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указанной в извещении об осуществлении закупки и документации о закупке.</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w:t>
      </w:r>
      <w:r w:rsidRPr="00C756A1">
        <w:rPr>
          <w:rFonts w:ascii="Times New Roman" w:eastAsiaTheme="minorEastAsia" w:hAnsi="Times New Roman" w:cs="Times New Roman"/>
          <w:sz w:val="23"/>
          <w:szCs w:val="23"/>
          <w:lang w:eastAsia="ru-RU"/>
        </w:rPr>
        <w:lastRenderedPageBreak/>
        <w:t>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w:t>
      </w:r>
      <w:r w:rsidRPr="00C756A1">
        <w:rPr>
          <w:rFonts w:ascii="Times New Roman" w:eastAsiaTheme="minorEastAsia" w:hAnsi="Times New Roman" w:cs="Times New Roman"/>
          <w:sz w:val="23"/>
          <w:szCs w:val="23"/>
          <w:lang w:eastAsia="ru-RU"/>
        </w:rPr>
        <w:lastRenderedPageBreak/>
        <w:t>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191932F0"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AA0053" w:rsidRPr="00AA0053">
        <w:rPr>
          <w:rFonts w:ascii="Times New Roman" w:eastAsiaTheme="minorEastAsia" w:hAnsi="Times New Roman" w:cs="Times New Roman"/>
          <w:sz w:val="23"/>
          <w:szCs w:val="23"/>
          <w:lang w:eastAsia="ru-RU"/>
        </w:rPr>
        <w:t>29 939,73 руб. (двадцать девять тысяч девятьсот тридцать девять рублей 73 копейки)</w:t>
      </w:r>
      <w:r w:rsidR="0094457F" w:rsidRPr="0094457F">
        <w:rPr>
          <w:rFonts w:ascii="Times New Roman" w:eastAsiaTheme="minorEastAsia" w:hAnsi="Times New Roman" w:cs="Times New Roman"/>
          <w:sz w:val="23"/>
          <w:szCs w:val="23"/>
          <w:lang w:eastAsia="ru-RU"/>
        </w:rPr>
        <w:t>.</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 xml:space="preserve">С момента вступления настоящего Контракта в силу все предыдущие переговоры по нему, соответствующая </w:t>
      </w:r>
      <w:r w:rsidR="009029EA" w:rsidRPr="003508B5">
        <w:rPr>
          <w:rFonts w:ascii="Times New Roman" w:eastAsiaTheme="minorEastAsia" w:hAnsi="Times New Roman" w:cs="Times New Roman"/>
          <w:lang w:eastAsia="ru-RU"/>
        </w:rPr>
        <w:lastRenderedPageBreak/>
        <w:t>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p w14:paraId="36E79E07" w14:textId="77777777" w:rsidR="0027568F" w:rsidRPr="003508B5" w:rsidRDefault="0027568F" w:rsidP="0027568F">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2784BF46" w14:textId="77777777" w:rsidR="0027568F" w:rsidRPr="00EB6F20" w:rsidRDefault="0027568F" w:rsidP="0027568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46A519C1" w14:textId="77777777" w:rsidR="00140CEA" w:rsidRDefault="00140CEA"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731915E"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63A29425"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223EE"/>
    <w:rsid w:val="0043495B"/>
    <w:rsid w:val="00437C75"/>
    <w:rsid w:val="004440D0"/>
    <w:rsid w:val="004532A8"/>
    <w:rsid w:val="00457531"/>
    <w:rsid w:val="00462D97"/>
    <w:rsid w:val="004728CB"/>
    <w:rsid w:val="00477B78"/>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712DB"/>
    <w:rsid w:val="00582D05"/>
    <w:rsid w:val="005E78B5"/>
    <w:rsid w:val="005F7A85"/>
    <w:rsid w:val="006441E2"/>
    <w:rsid w:val="00660E59"/>
    <w:rsid w:val="00680972"/>
    <w:rsid w:val="00690B8B"/>
    <w:rsid w:val="00692A30"/>
    <w:rsid w:val="00693727"/>
    <w:rsid w:val="006A0348"/>
    <w:rsid w:val="006A7DC8"/>
    <w:rsid w:val="006B1964"/>
    <w:rsid w:val="006C588D"/>
    <w:rsid w:val="006D28ED"/>
    <w:rsid w:val="006D4C40"/>
    <w:rsid w:val="006E59D1"/>
    <w:rsid w:val="006F0C2E"/>
    <w:rsid w:val="006F281E"/>
    <w:rsid w:val="006F439C"/>
    <w:rsid w:val="006F5A62"/>
    <w:rsid w:val="00720AC1"/>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07D83"/>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A0053"/>
    <w:rsid w:val="00AD519E"/>
    <w:rsid w:val="00AF240F"/>
    <w:rsid w:val="00B15DC8"/>
    <w:rsid w:val="00B213B0"/>
    <w:rsid w:val="00B219F1"/>
    <w:rsid w:val="00B23187"/>
    <w:rsid w:val="00B735CD"/>
    <w:rsid w:val="00B9452E"/>
    <w:rsid w:val="00BB2988"/>
    <w:rsid w:val="00BB3880"/>
    <w:rsid w:val="00BB6EA1"/>
    <w:rsid w:val="00C25163"/>
    <w:rsid w:val="00C53958"/>
    <w:rsid w:val="00C677FE"/>
    <w:rsid w:val="00C75770"/>
    <w:rsid w:val="00C85078"/>
    <w:rsid w:val="00C91611"/>
    <w:rsid w:val="00C97DDB"/>
    <w:rsid w:val="00CA608D"/>
    <w:rsid w:val="00CB1D73"/>
    <w:rsid w:val="00CF216A"/>
    <w:rsid w:val="00CF29D0"/>
    <w:rsid w:val="00CF4BC3"/>
    <w:rsid w:val="00D1153C"/>
    <w:rsid w:val="00D34927"/>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B7BC6"/>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6D0CB3C8-BE5A-4A2A-86E5-C6484BC5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17</cp:revision>
  <cp:lastPrinted>2020-05-25T14:52:00Z</cp:lastPrinted>
  <dcterms:created xsi:type="dcterms:W3CDTF">2020-05-27T11:41:00Z</dcterms:created>
  <dcterms:modified xsi:type="dcterms:W3CDTF">2020-06-02T16:23:00Z</dcterms:modified>
</cp:coreProperties>
</file>