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13A2CFA9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633EBF" w:rsidRPr="00633EBF">
        <w:rPr>
          <w:rFonts w:ascii="Times New Roman" w:eastAsia="Times New Roman" w:hAnsi="Times New Roman" w:cs="Times New Roman"/>
          <w:lang w:eastAsia="ar-SA"/>
        </w:rPr>
        <w:t>192132621183413270100100290010000000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2D9EC65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633EBF" w:rsidRPr="00633EBF">
        <w:rPr>
          <w:rFonts w:ascii="Times New Roman" w:eastAsiaTheme="minorEastAsia" w:hAnsi="Times New Roman" w:cs="Times New Roman"/>
          <w:lang w:eastAsia="ru-RU"/>
        </w:rPr>
        <w:t>комплекта технологического оборудования для металлообработки</w:t>
      </w:r>
      <w:r w:rsidR="0099465D" w:rsidRPr="0099465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0422D7D7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D7246F">
        <w:rPr>
          <w:rFonts w:ascii="Times New Roman" w:eastAsiaTheme="minorEastAsia" w:hAnsi="Times New Roman" w:cs="Times New Roman"/>
          <w:lang w:eastAsia="ru-RU"/>
        </w:rPr>
        <w:t>18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D7246F">
        <w:rPr>
          <w:rFonts w:ascii="Times New Roman" w:eastAsiaTheme="minorEastAsia" w:hAnsi="Times New Roman" w:cs="Times New Roman"/>
          <w:lang w:eastAsia="ru-RU"/>
        </w:rPr>
        <w:t>восем</w:t>
      </w:r>
      <w:r w:rsidR="0099465D">
        <w:rPr>
          <w:rFonts w:ascii="Times New Roman" w:eastAsiaTheme="minorEastAsia" w:hAnsi="Times New Roman" w:cs="Times New Roman"/>
          <w:lang w:eastAsia="ru-RU"/>
        </w:rPr>
        <w:t>надцать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99465D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55C3FC82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Монтаж, пуско-наладка,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lastRenderedPageBreak/>
        <w:t>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21F4D3EA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монтажу,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.1.1. Информировать Заказчика о ходе выполнения настоящего Контракта и о готовности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lastRenderedPageBreak/>
        <w:t>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01FD9A91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монтаж,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FBABC61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монтажа,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FCAB27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2E2D33C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1728C98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12C78D78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0C8AF72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</w:t>
      </w:r>
      <w:r w:rsidRPr="0050664E">
        <w:rPr>
          <w:rFonts w:ascii="Times New Roman" w:eastAsiaTheme="minorEastAsia" w:hAnsi="Times New Roman" w:cs="Times New Roman"/>
          <w:lang w:eastAsia="ru-RU"/>
        </w:rPr>
        <w:lastRenderedPageBreak/>
        <w:t>Российской Федерации от 30 августа 2017 г. №1042 в следующем порядке:</w:t>
      </w:r>
    </w:p>
    <w:p w14:paraId="4A37923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50F13107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FF2CCB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30A41C9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2E88DD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4E97310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9418A6E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0268551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7795E10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4BE6727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62C1C3CD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E816C62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0627CE7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4027423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3D23A27A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1B1CF724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141EB3B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18EA1765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679032D0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1FA4D73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1A7A003C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5567ADE6" w14:textId="77777777" w:rsidR="0050664E" w:rsidRPr="0050664E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058741ED" w:rsidR="009712BC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0664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30F8CDC2" w14:textId="77777777" w:rsidR="0050664E" w:rsidRPr="00EB6F20" w:rsidRDefault="0050664E" w:rsidP="00506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90A98DE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1187B" w:rsidRPr="0061187B">
        <w:rPr>
          <w:rFonts w:ascii="Times New Roman" w:eastAsiaTheme="minorEastAsia" w:hAnsi="Times New Roman" w:cs="Times New Roman"/>
          <w:lang w:eastAsia="ru-RU"/>
        </w:rPr>
        <w:t>Поставщик предоставляет обеспечение исполнения Контракта в виде банковской гарантии или внесения денежных средств на указанный Заказчиком счет на сумму 423 400,00 руб. (четыреста двадцать три тысячи четыреста рублей 00 копеек),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14F7E967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F919C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действие обстоятельств непреодолимой силы будет продолжаться более 1 (одного)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несмотря на почтовое уведомление, Сторона не явилась за получением направленной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Default="00FB0B2E" w:rsidP="009712BC"/>
    <w:p w14:paraId="2E7B5F75" w14:textId="77777777" w:rsidR="008F6DB3" w:rsidRPr="00EB6F20" w:rsidRDefault="008F6DB3" w:rsidP="009712BC">
      <w:bookmarkStart w:id="11" w:name="_GoBack"/>
      <w:bookmarkEnd w:id="11"/>
    </w:p>
    <w:p w14:paraId="3EE966DD" w14:textId="77777777" w:rsidR="00011C2E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AE4E52A" w14:textId="77777777" w:rsidR="00011C2E" w:rsidRDefault="00011C2E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1B1BF724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87"/>
        <w:gridCol w:w="992"/>
        <w:gridCol w:w="1083"/>
        <w:gridCol w:w="1354"/>
        <w:gridCol w:w="1761"/>
      </w:tblGrid>
      <w:tr w:rsidR="00533C66" w:rsidRPr="00EB6F20" w14:paraId="28A61C6D" w14:textId="77777777" w:rsidTr="00533C66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9" w:type="dxa"/>
            <w:vAlign w:val="center"/>
          </w:tcPr>
          <w:p w14:paraId="7B1F01B6" w14:textId="6289E591" w:rsidR="00533C66" w:rsidRPr="00EB6F20" w:rsidRDefault="00533C66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87" w:type="dxa"/>
          </w:tcPr>
          <w:p w14:paraId="4010FFAC" w14:textId="718C5A75" w:rsidR="00533C66" w:rsidRPr="00EB6F20" w:rsidRDefault="00533C66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992" w:type="dxa"/>
            <w:vAlign w:val="center"/>
          </w:tcPr>
          <w:p w14:paraId="672D4B1D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533C66" w:rsidRPr="00EB6F20" w14:paraId="2C603E71" w14:textId="77777777" w:rsidTr="00533C66">
        <w:trPr>
          <w:trHeight w:val="390"/>
        </w:trPr>
        <w:tc>
          <w:tcPr>
            <w:tcW w:w="540" w:type="dxa"/>
          </w:tcPr>
          <w:p w14:paraId="079D5080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2779C730" w14:textId="6584CC92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DB314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2B4E5653" w14:textId="77777777" w:rsidTr="00533C66">
        <w:trPr>
          <w:trHeight w:val="390"/>
        </w:trPr>
        <w:tc>
          <w:tcPr>
            <w:tcW w:w="540" w:type="dxa"/>
          </w:tcPr>
          <w:p w14:paraId="0348350B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4785654F" w14:textId="149B4CA5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38C67F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4B853D43" w14:textId="77777777" w:rsidTr="00533C66">
        <w:trPr>
          <w:trHeight w:val="390"/>
        </w:trPr>
        <w:tc>
          <w:tcPr>
            <w:tcW w:w="540" w:type="dxa"/>
          </w:tcPr>
          <w:p w14:paraId="77528969" w14:textId="77777777" w:rsidR="00533C66" w:rsidRPr="00EB6F20" w:rsidRDefault="00533C66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533C66" w:rsidRPr="00EB6F20" w:rsidRDefault="00533C66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533C66" w:rsidRPr="00EB6F20" w:rsidRDefault="00533C66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620F2748" w14:textId="0D810FF9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A62ECF7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533C66" w:rsidRPr="00EB6F20" w14:paraId="7EC8574C" w14:textId="77777777" w:rsidTr="00533C66">
        <w:trPr>
          <w:trHeight w:val="390"/>
        </w:trPr>
        <w:tc>
          <w:tcPr>
            <w:tcW w:w="540" w:type="dxa"/>
          </w:tcPr>
          <w:p w14:paraId="518C060F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533C66" w:rsidRPr="00EB6F20" w:rsidRDefault="00533C66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23CDAA3D" w14:textId="7A1638EF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08A733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533C66" w:rsidRPr="00EB6F20" w:rsidRDefault="00533C66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533C66" w:rsidRPr="00EB6F20" w:rsidRDefault="00533C66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EF09" w14:textId="77777777" w:rsidR="00F77550" w:rsidRDefault="00F77550">
      <w:pPr>
        <w:spacing w:after="0" w:line="240" w:lineRule="auto"/>
      </w:pPr>
      <w:r>
        <w:separator/>
      </w:r>
    </w:p>
  </w:endnote>
  <w:endnote w:type="continuationSeparator" w:id="0">
    <w:p w14:paraId="1217772A" w14:textId="77777777" w:rsidR="00F77550" w:rsidRDefault="00F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204D" w14:textId="77777777" w:rsidR="00F77550" w:rsidRDefault="00F77550">
      <w:pPr>
        <w:spacing w:after="0" w:line="240" w:lineRule="auto"/>
      </w:pPr>
      <w:r>
        <w:separator/>
      </w:r>
    </w:p>
  </w:footnote>
  <w:footnote w:type="continuationSeparator" w:id="0">
    <w:p w14:paraId="47FAA869" w14:textId="77777777" w:rsidR="00F77550" w:rsidRDefault="00F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11C2E"/>
    <w:rsid w:val="0002015C"/>
    <w:rsid w:val="000336A6"/>
    <w:rsid w:val="00053273"/>
    <w:rsid w:val="00061437"/>
    <w:rsid w:val="00077904"/>
    <w:rsid w:val="00082E27"/>
    <w:rsid w:val="0009101E"/>
    <w:rsid w:val="00097B4D"/>
    <w:rsid w:val="000D4C72"/>
    <w:rsid w:val="000E1FBF"/>
    <w:rsid w:val="000F0B32"/>
    <w:rsid w:val="00115992"/>
    <w:rsid w:val="00144ADB"/>
    <w:rsid w:val="001949B0"/>
    <w:rsid w:val="001E1B4E"/>
    <w:rsid w:val="00224E56"/>
    <w:rsid w:val="002333E9"/>
    <w:rsid w:val="002606F1"/>
    <w:rsid w:val="00284FE7"/>
    <w:rsid w:val="002B523A"/>
    <w:rsid w:val="002E3A99"/>
    <w:rsid w:val="002E4911"/>
    <w:rsid w:val="00365A50"/>
    <w:rsid w:val="0038747A"/>
    <w:rsid w:val="003A4FF8"/>
    <w:rsid w:val="0041640C"/>
    <w:rsid w:val="00420BBA"/>
    <w:rsid w:val="00430071"/>
    <w:rsid w:val="0043495B"/>
    <w:rsid w:val="00476718"/>
    <w:rsid w:val="004B1060"/>
    <w:rsid w:val="004F3D1D"/>
    <w:rsid w:val="0050664E"/>
    <w:rsid w:val="00521A75"/>
    <w:rsid w:val="00533C66"/>
    <w:rsid w:val="0056195B"/>
    <w:rsid w:val="0061187B"/>
    <w:rsid w:val="00633EBF"/>
    <w:rsid w:val="006441E2"/>
    <w:rsid w:val="006474D5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3227E"/>
    <w:rsid w:val="00740177"/>
    <w:rsid w:val="00764ECA"/>
    <w:rsid w:val="00775CA7"/>
    <w:rsid w:val="007A5583"/>
    <w:rsid w:val="007D5CC8"/>
    <w:rsid w:val="008143CC"/>
    <w:rsid w:val="008571E9"/>
    <w:rsid w:val="008A55B7"/>
    <w:rsid w:val="008A5FBD"/>
    <w:rsid w:val="008F6DB3"/>
    <w:rsid w:val="009417FA"/>
    <w:rsid w:val="009712BC"/>
    <w:rsid w:val="00986A31"/>
    <w:rsid w:val="00991A77"/>
    <w:rsid w:val="0099465D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BF5CD0"/>
    <w:rsid w:val="00C25163"/>
    <w:rsid w:val="00C677FE"/>
    <w:rsid w:val="00C86081"/>
    <w:rsid w:val="00C91611"/>
    <w:rsid w:val="00C97DDB"/>
    <w:rsid w:val="00CA608D"/>
    <w:rsid w:val="00CF4BC3"/>
    <w:rsid w:val="00D649B8"/>
    <w:rsid w:val="00D7246F"/>
    <w:rsid w:val="00D72EDE"/>
    <w:rsid w:val="00DA1262"/>
    <w:rsid w:val="00DB7855"/>
    <w:rsid w:val="00DC7CFB"/>
    <w:rsid w:val="00E3025B"/>
    <w:rsid w:val="00E62BE4"/>
    <w:rsid w:val="00EA3E66"/>
    <w:rsid w:val="00EB380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77550"/>
    <w:rsid w:val="00F85387"/>
    <w:rsid w:val="00F919CA"/>
    <w:rsid w:val="00FB0B2E"/>
    <w:rsid w:val="00FE505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36</cp:revision>
  <cp:lastPrinted>2019-05-20T11:51:00Z</cp:lastPrinted>
  <dcterms:created xsi:type="dcterms:W3CDTF">2019-04-23T12:13:00Z</dcterms:created>
  <dcterms:modified xsi:type="dcterms:W3CDTF">2019-05-20T14:03:00Z</dcterms:modified>
</cp:coreProperties>
</file>