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37263D08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3C009C" w:rsidRPr="003C009C">
        <w:rPr>
          <w:rFonts w:ascii="Times New Roman" w:eastAsia="Times New Roman" w:hAnsi="Times New Roman" w:cs="Times New Roman"/>
          <w:lang w:eastAsia="ar-SA"/>
        </w:rPr>
        <w:t>192132621183413270100100270012651000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29224198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3C009C" w:rsidRPr="003C009C">
        <w:rPr>
          <w:rFonts w:ascii="Times New Roman" w:eastAsiaTheme="minorEastAsia" w:hAnsi="Times New Roman" w:cs="Times New Roman"/>
          <w:lang w:eastAsia="ru-RU"/>
        </w:rPr>
        <w:t>контрольно-измерительного оборудования для контроля точности формы оптических поверхностей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030DE676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2B2EA9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E065F">
        <w:rPr>
          <w:rFonts w:ascii="Times New Roman" w:eastAsiaTheme="minorEastAsia" w:hAnsi="Times New Roman" w:cs="Times New Roman"/>
          <w:lang w:eastAsia="ru-RU"/>
        </w:rPr>
        <w:t>6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(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 xml:space="preserve">двадцать </w:t>
      </w:r>
      <w:r w:rsidR="001E065F">
        <w:rPr>
          <w:rFonts w:ascii="Times New Roman" w:eastAsiaTheme="minorEastAsia" w:hAnsi="Times New Roman" w:cs="Times New Roman"/>
          <w:lang w:eastAsia="ru-RU"/>
        </w:rPr>
        <w:t>шесть</w:t>
      </w:r>
      <w:r w:rsidRPr="00EB6F20">
        <w:rPr>
          <w:rFonts w:ascii="Times New Roman" w:eastAsiaTheme="minorEastAsia" w:hAnsi="Times New Roman" w:cs="Times New Roman"/>
          <w:lang w:eastAsia="ru-RU"/>
        </w:rPr>
        <w:t>) недел</w:t>
      </w:r>
      <w:r w:rsidR="001E065F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CAA5A61" w14:textId="1804592E" w:rsidR="000F0B3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2B2EA9">
        <w:rPr>
          <w:rFonts w:ascii="Times New Roman" w:eastAsiaTheme="minorEastAsia" w:hAnsi="Times New Roman" w:cs="Times New Roman"/>
          <w:lang w:eastAsia="ru-RU"/>
        </w:rPr>
        <w:t>П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уско-наладка, ввод Оборудования в эксплуатацию и инструктаж специалистов Заказчика осуществляются при доставке Оборудования. </w:t>
      </w:r>
    </w:p>
    <w:p w14:paraId="07252462" w14:textId="21D20F6E" w:rsidR="00A42092" w:rsidRPr="00EB6F20" w:rsidRDefault="00F30105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акту ввода оборудования в эксплуатацию, акту проведения инструктажа,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Pr="00EB6F20">
        <w:rPr>
          <w:rFonts w:ascii="Times New Roman" w:eastAsiaTheme="minorEastAsia" w:hAnsi="Times New Roman" w:cs="Times New Roman"/>
          <w:lang w:eastAsia="ru-RU"/>
        </w:rPr>
        <w:t>ые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(форма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№ТОРГ-12)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bookmarkStart w:id="3" w:name="_Hlk6902345"/>
      <w:r w:rsidR="000F0B32" w:rsidRPr="00EB6F20">
        <w:rPr>
          <w:rFonts w:ascii="Times New Roman" w:eastAsiaTheme="minorEastAsia" w:hAnsi="Times New Roman" w:cs="Times New Roman"/>
          <w:lang w:eastAsia="ru-RU"/>
        </w:rPr>
        <w:t>акта ввода оборудования в эксплуатацию,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3"/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5C322741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>, акта ввода оборудования в эксплуатацию и акта проведения инструктажа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79DDF307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пуско-наладке, вводу в эксплуатацию, гарантийному обслуживанию, подготовке специалистов,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09341DB3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3.9. По настоящему Контракту осуществляется казначейское сопровождение в отношении осуществления платежей Поставщику и привлекаемым им соисполнителям в соответствии с Постановлением Правительства Российской Федерации от 30 декабря 2018 г. №1765 «Об утверждении Правил казначейского сопровождения средств в случаях, предусмотренных Федеральным законом «О федеральном бюджете на 2019 год и на плановый период 2020 и 2021 годов», при этом установляются:</w:t>
      </w:r>
    </w:p>
    <w:p w14:paraId="2F64168C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3.9.1. запрет на перечисление целевых средств:</w:t>
      </w:r>
    </w:p>
    <w:p w14:paraId="2DC1CD61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 xml:space="preserve">3.9.1.1. 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актами, регулирующими порядок предоставления целевых средств, не предусмотрена </w:t>
      </w:r>
      <w:r w:rsidRPr="000B0B60">
        <w:rPr>
          <w:rFonts w:ascii="Times New Roman" w:eastAsiaTheme="minorEastAsia" w:hAnsi="Times New Roman" w:cs="Times New Roman"/>
          <w:lang w:eastAsia="ru-RU"/>
        </w:rPr>
        <w:lastRenderedPageBreak/>
        <w:t>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 (далее - банк);</w:t>
      </w:r>
    </w:p>
    <w:p w14:paraId="7EF0D7E1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3.9.1.2. в целях размещения средств на депозиты,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в том числе принимаемыми в отношении средств, получаемых юридическими лицами в результате финансово-хозяйственной деятельности, в том числе за счет целевых средств;</w:t>
      </w:r>
    </w:p>
    <w:p w14:paraId="7896C42D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3.9.1.3. на счета, открытые в банке юридическому лицу, за исключением:</w:t>
      </w:r>
    </w:p>
    <w:p w14:paraId="4AF0F2D9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1) оплаты обязательств юридического лица в соответствии с валютным законодательством Российской Федерации;</w:t>
      </w:r>
    </w:p>
    <w:p w14:paraId="18A15C74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2) оплаты обязательств юридического лица в целях осуществления расчетов по оплате труда с лицами, работающими по трудовому договору (контракту), а также по выплатам лицам, не состоящим в штате юридического лица, привлеченным для достижения цели, определенной при предоставлении целевых средств, с перечислением удержанных налогов, сборов и начисленных страховых взносов на обязательное пенсионное страхование, на обязательное социальное страхование, на обязательное медицинское страхование не позднее даты осуществления указанных расчетов;</w:t>
      </w:r>
    </w:p>
    <w:p w14:paraId="01649E05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3) оплаты обязательств юридического лица в целях осуществления расчетов по социальным выплатам и иным выплатам в пользу работников (кроме выплат, указанных в подпункте 2 настоящего пункта);</w:t>
      </w:r>
    </w:p>
    <w:p w14:paraId="0C0ECB0F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4) оплаты фактически поставленных товаров (выполненных работ, оказанных услуг), источником финансового обеспечения которых являются целевые средства, в случае если юридическое лицо не привлекает для поставки таких товаров (выполнения таких работ, оказания таких услуг) иных юридических лиц, а также при условии представления документов-оснований или реестра документов-оснований по форме, установленной Министерством финансов Российской Федерации (далее - реестр документов-оснований), с приложением указанных в нем документов-оснований (в случае его указания в платежном документе) и (или) иных документов, предусмотренных соглашениями, государственными контрактами, договорами о капитальных вложениях, контрактами учреждений, договорами о проведении капитального ремонта, договорами (контрактами, соглашениями) или нормативными правовыми актами о предоставлении субсидии;</w:t>
      </w:r>
    </w:p>
    <w:p w14:paraId="2E90BC7E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5) возмещения произведенных юридическим лицом расходов (части расходов) при условии представления документов в соответствии с подпунктом 4 настоящего пункта, а также копий платежных поручений, реестров платежных поручений, подтверждающих оплату произведенных юридическим лицом расходов (части расходов), если условиями соглашения, государственного контракта, договора о капитальных вложениях, контракта учреждения, договора о проведении капитального ремонта и договора (контракта, соглашения) предусмотрено возмещение произведенных юридическим лицом расходов (части расходов);</w:t>
      </w:r>
    </w:p>
    <w:p w14:paraId="019BFC0A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6) оплаты обязательств юридического лица по накладным расходам, связанным с исполнением государственного контракта, договора о капитальных вложениях, контракта учреждения, договора о проведении капитального ремонта, договора (контракта);</w:t>
      </w:r>
    </w:p>
    <w:p w14:paraId="5820C7B0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7) на счета, открытые в банках юридическим лицам, заключившим с юридическим лицом - получателем целевых средств договоры (контракты, соглашения), за исключением договоров, заключаемых в целях приобретения услуг связи, коммунальных услуг, электроэнергии,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 и сооружений в соответствии с законодательством Российской Федерации о градостроительной деятельности, а также договоров страхования в соответствии со страховым законодательством;</w:t>
      </w:r>
    </w:p>
    <w:p w14:paraId="7C998809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 xml:space="preserve">3.9.2. обязанность юридического лица открыть лицевой счет для учета операций </w:t>
      </w:r>
      <w:proofErr w:type="spellStart"/>
      <w:r w:rsidRPr="000B0B60">
        <w:rPr>
          <w:rFonts w:ascii="Times New Roman" w:eastAsiaTheme="minorEastAsia" w:hAnsi="Times New Roman" w:cs="Times New Roman"/>
          <w:lang w:eastAsia="ru-RU"/>
        </w:rPr>
        <w:t>неучастника</w:t>
      </w:r>
      <w:proofErr w:type="spellEnd"/>
      <w:r w:rsidRPr="000B0B60">
        <w:rPr>
          <w:rFonts w:ascii="Times New Roman" w:eastAsiaTheme="minorEastAsia" w:hAnsi="Times New Roman" w:cs="Times New Roman"/>
          <w:lang w:eastAsia="ru-RU"/>
        </w:rPr>
        <w:t xml:space="preserve"> бюджетного процесса в территориальном органе Федерального казначейства в целях осуществления операций с целевыми средствами в соответствии с Постановлением Правительства Российской Федерации от 30 декабря 2018 г. №1765, а также п.3.10 настоящего Контракта;</w:t>
      </w:r>
    </w:p>
    <w:p w14:paraId="2904ADD8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3.9.3. обязанность юридического лица вести раздельный учет результатов финансово-хозяйственной деятельности по каждому государственному контракту, договору о капитальных вложениях, контракту учреждения, договору о проведении капитального ремонта и договору (контракту), распределять накладные расходы пропорционально срокам исполнения государственного контракта, договора о капитальных вложениях, контракта учреждения, договора о проведении капитального ремонта, договора (контракта) либо срокам использования авансового платежа по ним в порядке, установленном Министерством финансов Российской Федерации;</w:t>
      </w:r>
    </w:p>
    <w:p w14:paraId="338DF297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3.9.4. представление в территориальные органы Федерального казначейства документов, предусмотренных порядком санкционирования целевых средств;</w:t>
      </w:r>
    </w:p>
    <w:p w14:paraId="67A04A64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lastRenderedPageBreak/>
        <w:t>3.9.5. указание в договорах (контрактах, соглашениях), платежных и расчетных документах (за исключением платежных и расчетных документов, представляемых в связи с исполнением соглашений, государственных контрактов, договоров о капитальных вложениях, контрактов учреждений, договоров о проведении капитального ремонта, договоров (контрактов, соглашений),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государственная тайна), а также в документах-основаниях, реестре документов-оснований идентификатора соглашения, государственного контракта, договора о капитальных вложениях, контракта учреждения и договора о проведении капитального ремонта, порядок формирования которого установлен Федеральным казначейством;</w:t>
      </w:r>
    </w:p>
    <w:p w14:paraId="055DD703" w14:textId="2DC27F46" w:rsidR="000B0B60" w:rsidRPr="000B0B60" w:rsidRDefault="0040410A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40410A">
        <w:rPr>
          <w:rFonts w:ascii="Times New Roman" w:eastAsiaTheme="minorEastAsia" w:hAnsi="Times New Roman" w:cs="Times New Roman"/>
          <w:lang w:eastAsia="ru-RU"/>
        </w:rPr>
        <w:t>3.9.6. иные условия, определенные принимаемыми в соответствии с пунктом 10 части 2 статьи 5 Федерального закона от 29 ноября 2018 г. №459-ФЗ актами Правительства Российской Федерации, предусмотренными разделом IV Постановления Правительства Российской Федерации от 30 декабря 2018 г. №1765.</w:t>
      </w:r>
    </w:p>
    <w:p w14:paraId="7C0E4BE7" w14:textId="77777777" w:rsid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3.10. В целях перечисления Заказчиком Поставщику платежей по Контракту Поставщик обязуется открыть лицевой счет в территориальном органе Федерального казначейства, предназначенный для учета операций со средствами юридического лица, не являющегося участником бюджетного процесса, и уведомить Заказчика об открытии указанного счета в течение 3 (трех) рабочих дней с даты получения на бумажном носителе уведомления об открытии лицевого счета. В течение 10 (десяти) рабочих дней с момента открытия Поставщиком лицевого счета Стороны обязуются заключить дополнительное соглашение к настоящему Контракту об утверждении новых реквизитов.</w:t>
      </w:r>
    </w:p>
    <w:p w14:paraId="1D5560C7" w14:textId="41871944" w:rsidR="00921248" w:rsidRPr="00356130" w:rsidRDefault="004A2754" w:rsidP="009212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4A2754">
        <w:rPr>
          <w:rFonts w:ascii="Times New Roman" w:eastAsiaTheme="minorEastAsia" w:hAnsi="Times New Roman" w:cs="Times New Roman"/>
          <w:lang w:eastAsia="ru-RU"/>
        </w:rPr>
        <w:t>Перечисление денежных средств осуществляется на счет, открытый в Управлении Федерального казначейства по Республике Мордовия, для учета операций со средствами юридических лиц, не являющихся участниками бюджетного процесса.</w:t>
      </w:r>
    </w:p>
    <w:p w14:paraId="4B82D780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3.11. Оплата по настоящему Контракту производится в следующем порядке:</w:t>
      </w:r>
    </w:p>
    <w:p w14:paraId="759229A1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- 30% от стоимости, указанной в пункте 3.1 настоящего Контракта, оплачивается в течение 15 (пятнадцати) рабочих дней с момента получения Заказчиком уведомления об открытии Поставщиком лицевого счета в соответствии с п.3.10 настоящего Контракта. В случае если при заключении Контракта у Поставщика открыт лицевой счет в территориальном органе Федерального казначейства, выплата аванса производится в течение 15 (пятнадцати) рабочих дней с момента заключения настоящего Контракта на основании счета Поставщика;</w:t>
      </w:r>
    </w:p>
    <w:p w14:paraId="0354076B" w14:textId="77777777" w:rsidR="000B0B60" w:rsidRPr="000B0B6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- 70% от стоимости, указанной в пункте 3.1 настоящего Контракта, оплачивается в течение 15 (пятнадцати) рабочих дней с момента подписания обеими Сторонами документов, установленных п. 2.4 настоящего Контракта, на основании счета Поставщика.</w:t>
      </w:r>
    </w:p>
    <w:p w14:paraId="44E24D17" w14:textId="49AD4626" w:rsidR="009712BC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B0B60">
        <w:rPr>
          <w:rFonts w:ascii="Times New Roman" w:eastAsiaTheme="minorEastAsia" w:hAnsi="Times New Roman" w:cs="Times New Roman"/>
          <w:lang w:eastAsia="ru-RU"/>
        </w:rPr>
        <w:t>3.12. В соответствии с Постановлением Правительства РФ от 30 декабря 2018 г. №1765 «Об утверждении правил казначейского сопровождения средств в случаях, предусмотренных Федеральным законом «О федеральном бюджете на 2019 год и на плановый период 2020 и 2021 годов» настоящему Контракту присвоен идентификатор № ______________.</w:t>
      </w:r>
    </w:p>
    <w:p w14:paraId="082C2F0A" w14:textId="0606FC32" w:rsidR="003154E5" w:rsidRPr="00CA608D" w:rsidRDefault="003154E5" w:rsidP="00315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3.13. </w:t>
      </w:r>
      <w:r w:rsidRPr="00697C5F">
        <w:rPr>
          <w:rFonts w:ascii="Times New Roman" w:eastAsiaTheme="minorEastAsia" w:hAnsi="Times New Roman" w:cs="Times New Roman"/>
          <w:lang w:eastAsia="ru-RU"/>
        </w:rPr>
        <w:t>Исполнение обязательств Сторон по настоящему Контракту в части проведения расчетов осуществляется в соответствии с Порядком осуществления территориальными органами федерального казначейства санкционирования  расходов, источником финансового обеспечения которых являются целевые средства, при казначейском сопровождении целевых средств</w:t>
      </w:r>
      <w:bookmarkStart w:id="4" w:name="_GoBack"/>
      <w:bookmarkEnd w:id="4"/>
      <w:r w:rsidRPr="00697C5F">
        <w:rPr>
          <w:rFonts w:ascii="Times New Roman" w:eastAsiaTheme="minorEastAsia" w:hAnsi="Times New Roman" w:cs="Times New Roman"/>
          <w:lang w:eastAsia="ru-RU"/>
        </w:rPr>
        <w:t xml:space="preserve"> в случаях, предусмотренных федеральным законом «О федеральном бюджете на 2019 год и на плановый период 2020 и 2021 годов», утвержденным Приказом Министерства финансов Российской Федерации от 11 декабря 2018 г. №259н.</w:t>
      </w:r>
    </w:p>
    <w:p w14:paraId="6AF9B1F0" w14:textId="77777777" w:rsidR="003154E5" w:rsidRDefault="003154E5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768F514" w14:textId="77777777" w:rsidR="000B0B60" w:rsidRPr="00EB6F20" w:rsidRDefault="000B0B60" w:rsidP="000B0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52C1520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соответствии с п.4.2.2 Договора помещение, произвести пуско-наладку, ввод в эксплуатацию, гарантийное обслуживание, подготовку специалистов Заказчика</w:t>
      </w:r>
      <w:r w:rsidR="00B15DC8" w:rsidRPr="00EB6F20">
        <w:t xml:space="preserve"> 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в количестве не более 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420BBA" w:rsidRPr="00EB6F20">
        <w:rPr>
          <w:rFonts w:ascii="Times New Roman" w:eastAsiaTheme="minorEastAsia" w:hAnsi="Times New Roman" w:cs="Times New Roman"/>
          <w:lang w:eastAsia="ru-RU"/>
        </w:rPr>
        <w:t>трех</w:t>
      </w:r>
      <w:r w:rsidR="00B15DC8" w:rsidRPr="00EB6F20">
        <w:rPr>
          <w:rFonts w:ascii="Times New Roman" w:eastAsiaTheme="minorEastAsia" w:hAnsi="Times New Roman" w:cs="Times New Roman"/>
          <w:lang w:eastAsia="ru-RU"/>
        </w:rPr>
        <w:t>) человек в объеме, необходимом для работы на Оборудовании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7C1D2258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после окончания его пуско-наладки, ввода в эксплуатацию и проведения инструктажа специалистов Заказчика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в соответствии с документами, предусмотренными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</w:t>
      </w:r>
      <w:proofErr w:type="spellEnd"/>
      <w:r w:rsidR="00097B4D" w:rsidRPr="00EB6F20">
        <w:rPr>
          <w:rFonts w:ascii="Times New Roman" w:eastAsiaTheme="minorEastAsia" w:hAnsi="Times New Roman" w:cs="Times New Roman"/>
          <w:lang w:eastAsia="ru-RU"/>
        </w:rPr>
        <w:t>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5.3. Документы, предусмотренные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п.п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5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5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б) что техническая документация, передаваемая Поставщиком, является комплектной и достаточной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4A42993" w14:textId="77777777" w:rsidR="002B2EA9" w:rsidRPr="00CA608D" w:rsidRDefault="002B2EA9" w:rsidP="002B2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6654E17B" w14:textId="77777777" w:rsidR="002B2EA9" w:rsidRPr="002B2EA9" w:rsidRDefault="002B2EA9" w:rsidP="002B2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EA9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0192B66F" w14:textId="77777777" w:rsidR="002B2EA9" w:rsidRDefault="002B2EA9" w:rsidP="002B2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EA9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746D7632" w:rsidR="006A7DC8" w:rsidRPr="00EB6F20" w:rsidRDefault="006A7DC8" w:rsidP="002B2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E4C7EA4" w14:textId="124CCD7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57A36744" w14:textId="677E80AB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.2. Ответственность Заказчика:</w:t>
      </w:r>
    </w:p>
    <w:p w14:paraId="32BD8820" w14:textId="77D05E2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вправе потребовать уплаты неустоек (штрафов, пеней).</w:t>
      </w:r>
    </w:p>
    <w:p w14:paraId="2C1C071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4A490AE5" w14:textId="33F560A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.2.2. Штрафы начисляются за 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каждый факт неисполнения Заказчиком обязательств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определяемой в соответствии с Постановлением Правительства Российской Федерации от 30 августа 2017 г. №1042 в следующем порядке:</w:t>
      </w:r>
    </w:p>
    <w:p w14:paraId="6F33D19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31FCD5B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4B9EAB8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212878F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28B6A5A1" w14:textId="6FC205B7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Ответственность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:</w:t>
      </w:r>
    </w:p>
    <w:p w14:paraId="01FCE6E9" w14:textId="2716EEB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.3.1. В случае просрочки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а также в иных случаях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обязательств, предусмотренных настоящим Контрактом, Заказчик направляет </w:t>
      </w:r>
      <w:r w:rsidRPr="00EB6F20">
        <w:rPr>
          <w:rFonts w:ascii="Times New Roman" w:eastAsiaTheme="minorEastAsia" w:hAnsi="Times New Roman" w:cs="Times New Roman"/>
          <w:lang w:eastAsia="ru-RU"/>
        </w:rPr>
        <w:t>Поставщику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требование об уплате неустоек (штрафов, пеней).</w:t>
      </w:r>
    </w:p>
    <w:p w14:paraId="5E332ED1" w14:textId="5506ECF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Пеня начисляется за каждый день просрочки исполнения </w:t>
      </w:r>
      <w:bookmarkStart w:id="6" w:name="_Hlk6668130"/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6"/>
      <w:r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 (в том числе гарантийного обязательства), предусмотренного Контрактом, начиная со дня, следующего после дня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43DD9662" w14:textId="4E3D7332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26DF0D49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560D81A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5F33151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45BC189F" w14:textId="2D1A9CF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.3.</w:t>
      </w:r>
      <w:r w:rsidR="00C97DDB" w:rsidRPr="00EB6F20">
        <w:rPr>
          <w:rFonts w:ascii="Times New Roman" w:eastAsiaTheme="minorEastAsia" w:hAnsi="Times New Roman" w:cs="Times New Roman"/>
          <w:lang w:eastAsia="ru-RU"/>
        </w:rPr>
        <w:t>3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За каждый факт неисполнения или ненадлежащего исполнения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обязательства, предусмотренного Контрактом, которое не имеет стоимостного выражения,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выплачивает Заказчику штраф в виде фиксированной суммы, рассчитанной в соответствии с Постановлением Правительства Российской Федерации от 30 августа 2017 г. № 1042, в размере:</w:t>
      </w:r>
    </w:p>
    <w:p w14:paraId="5C0977B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724337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17AE1E5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0DCE58C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02FAE98" w14:textId="46B02AB5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.4. Применение неустойки (штрафа, пени) не освобождает Стороны от исполнения обязательств по Контракту.</w:t>
      </w:r>
    </w:p>
    <w:p w14:paraId="0049C5D4" w14:textId="0AB2EB26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.5. В случае просрочки со стороны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3F8257CD" w14:textId="5CF76829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Вред, причиненный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имуществу Заказчика и/или третьих лиц, подлежит возмещению в полном объеме, в срок не позднее 10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(десяти)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календарных дней с момента предъявления претензии. </w:t>
      </w:r>
    </w:p>
    <w:p w14:paraId="712A533E" w14:textId="42F75E58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Общая сумма начисленной неустойки (штрафов, пени) за неисполнение или ненадлежащее исполнение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обязательств, предусмотренных Контрактом, не может превышать цену Контракта.</w:t>
      </w:r>
    </w:p>
    <w:p w14:paraId="7FC8606A" w14:textId="0BDAEF34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527BC1E" w14:textId="79CEFB43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несет перед Заказчиком ответственность за последствия неисполнения или ненадлежащего исполнения обязательств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а также риск причинения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убытков имуществу Заказчика и третьих лиц. </w:t>
      </w:r>
    </w:p>
    <w:p w14:paraId="20689D3F" w14:textId="61637E0D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.1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>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3495B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 несет ответственность перед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за выполнение обязательств по оплате выполняемых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работ. Заказчик не несет перед привлекаемыми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Поставщиком 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ответственности за неполную или несвоевременную оплату выполненных ими работ, а также по иным требованиям, предъявленным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соисполнителями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связи с неисполнением и (или) ненадлежащим исполнением обязательств </w:t>
      </w:r>
      <w:r w:rsidR="000E1FBF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6865454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0C0F75A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виде: ______________________________________________________ (способ обеспечения исполнения Контракта - банковская гарантия или внесение денежных средств на указанный Заказчиком счет) на сумму: </w:t>
      </w:r>
      <w:r w:rsidR="003C009C">
        <w:rPr>
          <w:rFonts w:ascii="Times New Roman" w:eastAsiaTheme="minorEastAsia" w:hAnsi="Times New Roman" w:cs="Times New Roman"/>
          <w:lang w:eastAsia="ru-RU"/>
        </w:rPr>
        <w:t>2 655 720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>,</w:t>
      </w:r>
      <w:r w:rsidR="003C009C">
        <w:rPr>
          <w:rFonts w:ascii="Times New Roman" w:eastAsiaTheme="minorEastAsia" w:hAnsi="Times New Roman" w:cs="Times New Roman"/>
          <w:lang w:eastAsia="ru-RU"/>
        </w:rPr>
        <w:t>0</w:t>
      </w:r>
      <w:r w:rsidR="001E065F" w:rsidRPr="001E065F">
        <w:rPr>
          <w:rFonts w:ascii="Times New Roman" w:eastAsiaTheme="minorEastAsia" w:hAnsi="Times New Roman" w:cs="Times New Roman"/>
          <w:lang w:eastAsia="ru-RU"/>
        </w:rPr>
        <w:t>0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 xml:space="preserve"> руб. (</w:t>
      </w:r>
      <w:r w:rsidR="003C009C">
        <w:rPr>
          <w:rFonts w:ascii="Times New Roman" w:eastAsiaTheme="minorEastAsia" w:hAnsi="Times New Roman" w:cs="Times New Roman"/>
          <w:lang w:eastAsia="ru-RU"/>
        </w:rPr>
        <w:t>два миллиона шестьсот пятьдесят пять тысяч семьсот двадцать рублей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E065F" w:rsidRPr="001E065F">
        <w:rPr>
          <w:rFonts w:ascii="Times New Roman" w:eastAsiaTheme="minorEastAsia" w:hAnsi="Times New Roman" w:cs="Times New Roman"/>
          <w:lang w:eastAsia="ru-RU"/>
        </w:rPr>
        <w:t>00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 xml:space="preserve"> копе</w:t>
      </w:r>
      <w:r w:rsidR="001E065F" w:rsidRPr="001E065F">
        <w:rPr>
          <w:rFonts w:ascii="Times New Roman" w:eastAsiaTheme="minorEastAsia" w:hAnsi="Times New Roman" w:cs="Times New Roman"/>
          <w:lang w:eastAsia="ru-RU"/>
        </w:rPr>
        <w:t>е</w:t>
      </w:r>
      <w:r w:rsidR="00B213B0" w:rsidRPr="001E065F">
        <w:rPr>
          <w:rFonts w:ascii="Times New Roman" w:eastAsiaTheme="minorEastAsia" w:hAnsi="Times New Roman" w:cs="Times New Roman"/>
          <w:lang w:eastAsia="ru-RU"/>
        </w:rPr>
        <w:t>к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55233B">
        <w:rPr>
          <w:rFonts w:ascii="Times New Roman" w:eastAsiaTheme="minorEastAsia" w:hAnsi="Times New Roman" w:cs="Times New Roman"/>
          <w:lang w:eastAsia="ru-RU"/>
        </w:rPr>
        <w:t>30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>действия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Контракта,   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124E2A79" w14:textId="2EA97A9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9.4. Если какое-либо из обстоятельств непреодолимой силы непосредственно повлияло на исполнение обязательств по настоящему Контракту, срок исполнения обязательств отодвигается соразмерно времени действия соответствующих обстоятельств, но не более чем на 1 (один) календарный месяц.</w:t>
      </w:r>
    </w:p>
    <w:p w14:paraId="3FABC5F9" w14:textId="78CA5CD5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9.5.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09"/>
      <w:bookmarkStart w:id="8" w:name="Par410"/>
      <w:bookmarkEnd w:id="7"/>
      <w:bookmarkEnd w:id="8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9" w:name="Par456"/>
      <w:bookmarkEnd w:id="9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77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7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ar480"/>
      <w:bookmarkEnd w:id="11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ar485"/>
      <w:bookmarkEnd w:id="12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56B0C797" w14:textId="77777777" w:rsidR="00AF240F" w:rsidRPr="00EB6F20" w:rsidRDefault="00AF240F" w:rsidP="009712BC"/>
    <w:p w14:paraId="56E5CE4F" w14:textId="77777777" w:rsidR="00AF240F" w:rsidRPr="00EB6F20" w:rsidRDefault="00AF240F" w:rsidP="009712BC"/>
    <w:p w14:paraId="4928A077" w14:textId="77777777" w:rsidR="00AF240F" w:rsidRDefault="00AF240F" w:rsidP="009712BC"/>
    <w:p w14:paraId="15FADEA1" w14:textId="77777777" w:rsidR="001E065F" w:rsidRDefault="001E065F" w:rsidP="009712BC"/>
    <w:p w14:paraId="543B8A26" w14:textId="77777777" w:rsidR="001E065F" w:rsidRDefault="001E065F" w:rsidP="009712BC"/>
    <w:p w14:paraId="0B2FAE79" w14:textId="77777777" w:rsidR="001E065F" w:rsidRDefault="001E065F" w:rsidP="009712BC"/>
    <w:p w14:paraId="3F450331" w14:textId="77777777" w:rsidR="001E065F" w:rsidRDefault="001E065F" w:rsidP="009712BC"/>
    <w:p w14:paraId="55984139" w14:textId="77777777" w:rsidR="001E065F" w:rsidRDefault="001E065F" w:rsidP="009712BC"/>
    <w:p w14:paraId="4D0AFA0E" w14:textId="77777777" w:rsidR="001E065F" w:rsidRDefault="001E065F" w:rsidP="009712BC"/>
    <w:p w14:paraId="3927B677" w14:textId="77777777" w:rsidR="001E065F" w:rsidRDefault="001E065F" w:rsidP="009712BC"/>
    <w:p w14:paraId="438FC2BB" w14:textId="77777777" w:rsidR="001E065F" w:rsidRDefault="001E065F" w:rsidP="009712BC"/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______________________________/В.В.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Якуба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8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2D0FD" w14:textId="77777777" w:rsidR="0018241B" w:rsidRDefault="0018241B">
      <w:pPr>
        <w:spacing w:after="0" w:line="240" w:lineRule="auto"/>
      </w:pPr>
      <w:r>
        <w:separator/>
      </w:r>
    </w:p>
  </w:endnote>
  <w:endnote w:type="continuationSeparator" w:id="0">
    <w:p w14:paraId="202918A9" w14:textId="77777777" w:rsidR="0018241B" w:rsidRDefault="0018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FF14E" w14:textId="77777777" w:rsidR="0018241B" w:rsidRDefault="0018241B">
      <w:pPr>
        <w:spacing w:after="0" w:line="240" w:lineRule="auto"/>
      </w:pPr>
      <w:r>
        <w:separator/>
      </w:r>
    </w:p>
  </w:footnote>
  <w:footnote w:type="continuationSeparator" w:id="0">
    <w:p w14:paraId="4EFEEF28" w14:textId="77777777" w:rsidR="0018241B" w:rsidRDefault="0018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 w15:restartNumberingAfterBreak="0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 w15:restartNumberingAfterBreak="0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 w15:restartNumberingAfterBreak="0">
    <w:nsid w:val="38FC6974"/>
    <w:multiLevelType w:val="multilevel"/>
    <w:tmpl w:val="D23CCB48"/>
    <w:name w:val="WW8Num1422"/>
    <w:numStyleLink w:val="21"/>
  </w:abstractNum>
  <w:abstractNum w:abstractNumId="9" w15:restartNumberingAfterBreak="0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 w15:restartNumberingAfterBreak="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074C0"/>
    <w:rsid w:val="0002015C"/>
    <w:rsid w:val="000336A6"/>
    <w:rsid w:val="00053273"/>
    <w:rsid w:val="00077904"/>
    <w:rsid w:val="00082E27"/>
    <w:rsid w:val="0009101E"/>
    <w:rsid w:val="00097B4D"/>
    <w:rsid w:val="000B0B60"/>
    <w:rsid w:val="000D4C72"/>
    <w:rsid w:val="000E1FBF"/>
    <w:rsid w:val="000F0B32"/>
    <w:rsid w:val="00144ADB"/>
    <w:rsid w:val="0018241B"/>
    <w:rsid w:val="001949B0"/>
    <w:rsid w:val="001E065F"/>
    <w:rsid w:val="001E1B4E"/>
    <w:rsid w:val="00224E56"/>
    <w:rsid w:val="002333E9"/>
    <w:rsid w:val="002574E2"/>
    <w:rsid w:val="002606F1"/>
    <w:rsid w:val="00284FE7"/>
    <w:rsid w:val="002B2EA9"/>
    <w:rsid w:val="002B523A"/>
    <w:rsid w:val="002E3A99"/>
    <w:rsid w:val="002E4911"/>
    <w:rsid w:val="003154E5"/>
    <w:rsid w:val="0038747A"/>
    <w:rsid w:val="003A4FF8"/>
    <w:rsid w:val="003C009C"/>
    <w:rsid w:val="0040410A"/>
    <w:rsid w:val="0041640C"/>
    <w:rsid w:val="00420BBA"/>
    <w:rsid w:val="00425E32"/>
    <w:rsid w:val="0043495B"/>
    <w:rsid w:val="004A2754"/>
    <w:rsid w:val="004B1060"/>
    <w:rsid w:val="004F3D1D"/>
    <w:rsid w:val="004F6291"/>
    <w:rsid w:val="00521A75"/>
    <w:rsid w:val="0055233B"/>
    <w:rsid w:val="0056195B"/>
    <w:rsid w:val="005E52B5"/>
    <w:rsid w:val="006441E2"/>
    <w:rsid w:val="00660E59"/>
    <w:rsid w:val="00692A30"/>
    <w:rsid w:val="00693727"/>
    <w:rsid w:val="006A0348"/>
    <w:rsid w:val="006A7DC8"/>
    <w:rsid w:val="006B1964"/>
    <w:rsid w:val="006D28ED"/>
    <w:rsid w:val="006F439C"/>
    <w:rsid w:val="006F5A62"/>
    <w:rsid w:val="00740177"/>
    <w:rsid w:val="00764ECA"/>
    <w:rsid w:val="00775CA7"/>
    <w:rsid w:val="007A5583"/>
    <w:rsid w:val="007D44F9"/>
    <w:rsid w:val="007D5CC8"/>
    <w:rsid w:val="008A55B7"/>
    <w:rsid w:val="008A5FBD"/>
    <w:rsid w:val="009144FD"/>
    <w:rsid w:val="00921248"/>
    <w:rsid w:val="00924C58"/>
    <w:rsid w:val="009712BC"/>
    <w:rsid w:val="00986A31"/>
    <w:rsid w:val="00991A77"/>
    <w:rsid w:val="00994761"/>
    <w:rsid w:val="009E119C"/>
    <w:rsid w:val="009F163B"/>
    <w:rsid w:val="00A0579B"/>
    <w:rsid w:val="00A42092"/>
    <w:rsid w:val="00A73190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B3880"/>
    <w:rsid w:val="00BE7181"/>
    <w:rsid w:val="00BF5BB6"/>
    <w:rsid w:val="00C25163"/>
    <w:rsid w:val="00C677FE"/>
    <w:rsid w:val="00C91611"/>
    <w:rsid w:val="00C97DDB"/>
    <w:rsid w:val="00CA608D"/>
    <w:rsid w:val="00CF4BC3"/>
    <w:rsid w:val="00D649B8"/>
    <w:rsid w:val="00D72EDE"/>
    <w:rsid w:val="00D91B1D"/>
    <w:rsid w:val="00DA1262"/>
    <w:rsid w:val="00DB7855"/>
    <w:rsid w:val="00DC7CFB"/>
    <w:rsid w:val="00E3025B"/>
    <w:rsid w:val="00E62BE4"/>
    <w:rsid w:val="00EA3E66"/>
    <w:rsid w:val="00EB4465"/>
    <w:rsid w:val="00EB6F20"/>
    <w:rsid w:val="00EB72D2"/>
    <w:rsid w:val="00ED1ECA"/>
    <w:rsid w:val="00EE5F0F"/>
    <w:rsid w:val="00F1325D"/>
    <w:rsid w:val="00F141A0"/>
    <w:rsid w:val="00F25DC5"/>
    <w:rsid w:val="00F30105"/>
    <w:rsid w:val="00F34CCC"/>
    <w:rsid w:val="00F70B94"/>
    <w:rsid w:val="00F85387"/>
    <w:rsid w:val="00FA1FD1"/>
    <w:rsid w:val="00FB0B2E"/>
    <w:rsid w:val="00FE505F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  <w15:chartTrackingRefBased/>
  <w15:docId w15:val="{2634FC10-E0A7-43BC-8C8D-8A37BD2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94782856C31DE4994E28C3885DEE9FD739D380C2AFE2D19BC9797B337D5915A239AB9AEB7467AE84D65606126W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6843</Words>
  <Characters>39008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Igosheva</cp:lastModifiedBy>
  <cp:revision>36</cp:revision>
  <cp:lastPrinted>2019-04-26T07:56:00Z</cp:lastPrinted>
  <dcterms:created xsi:type="dcterms:W3CDTF">2019-04-23T12:13:00Z</dcterms:created>
  <dcterms:modified xsi:type="dcterms:W3CDTF">2019-04-26T11:40:00Z</dcterms:modified>
</cp:coreProperties>
</file>