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DC9FA1D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>, по результатам проведения аукциона в электронной форме (ИКЗ:</w:t>
      </w:r>
      <w:r w:rsidR="003C324D" w:rsidRPr="003C324D">
        <w:rPr>
          <w:sz w:val="24"/>
          <w:szCs w:val="24"/>
        </w:rPr>
        <w:t xml:space="preserve"> </w:t>
      </w:r>
      <w:r w:rsidR="003C324D" w:rsidRPr="003C324D">
        <w:rPr>
          <w:rFonts w:ascii="Times New Roman" w:eastAsia="Times New Roman" w:hAnsi="Times New Roman" w:cs="Times New Roman"/>
          <w:lang w:eastAsia="ar-SA"/>
        </w:rPr>
        <w:t>192132621183413270100100170012751000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12B96621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3C324D" w:rsidRPr="003C324D">
        <w:rPr>
          <w:rFonts w:ascii="Times New Roman" w:eastAsiaTheme="minorEastAsia" w:hAnsi="Times New Roman" w:cs="Times New Roman"/>
          <w:lang w:eastAsia="ru-RU"/>
        </w:rPr>
        <w:t xml:space="preserve">шкафа вытяжного напольного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40D11B22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3C324D" w:rsidRPr="003C324D">
        <w:rPr>
          <w:rFonts w:ascii="Times New Roman" w:eastAsiaTheme="minorEastAsia" w:hAnsi="Times New Roman" w:cs="Times New Roman"/>
          <w:lang w:eastAsia="ru-RU"/>
        </w:rPr>
        <w:t>8 (восемь)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95F844C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3C324D">
        <w:rPr>
          <w:rFonts w:ascii="Times New Roman" w:eastAsiaTheme="minorEastAsia" w:hAnsi="Times New Roman" w:cs="Times New Roman"/>
          <w:lang w:eastAsia="ru-RU"/>
        </w:rPr>
        <w:t>Сборка, 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онтаж, осуществляются при доставке Оборудования. </w:t>
      </w:r>
    </w:p>
    <w:p w14:paraId="07252462" w14:textId="16B83845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74A9FAB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57102655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сборке,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монтажу,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C2209A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сборку,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монтаж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объеме,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lastRenderedPageBreak/>
        <w:t>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D4BF3A4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производит</w:t>
      </w:r>
      <w:r w:rsidR="003C324D">
        <w:rPr>
          <w:rFonts w:ascii="Times New Roman" w:eastAsiaTheme="minorEastAsia" w:hAnsi="Times New Roman" w:cs="Times New Roman"/>
          <w:lang w:eastAsia="ru-RU"/>
        </w:rPr>
        <w:t xml:space="preserve">ся после окончания его сборки, монтажа в </w:t>
      </w:r>
      <w:r w:rsidRPr="00EB6F20">
        <w:rPr>
          <w:rFonts w:ascii="Times New Roman" w:eastAsiaTheme="minorEastAsia" w:hAnsi="Times New Roman" w:cs="Times New Roman"/>
          <w:lang w:eastAsia="ru-RU"/>
        </w:rPr>
        <w:t>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D31C8A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D31C8A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D31C8A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D31C8A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D31C8A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D31C8A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D31C8A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D31C8A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</w:t>
      </w:r>
      <w:bookmarkStart w:id="4" w:name="_GoBack"/>
      <w:bookmarkEnd w:id="4"/>
      <w:r w:rsidR="006A7DC8" w:rsidRPr="00D31C8A">
        <w:rPr>
          <w:rFonts w:ascii="Times New Roman" w:eastAsiaTheme="minorEastAsia" w:hAnsi="Times New Roman" w:cs="Times New Roman"/>
          <w:lang w:eastAsia="ru-RU"/>
        </w:rPr>
        <w:t>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FCAB27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2E2D33C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1728C98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12C78D78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0C8AF72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4A37923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50F1310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FF2CCB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30A41C9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2E88DD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4E97310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9418A6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4553E727" w14:textId="3690F80C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 xml:space="preserve">7.3.2. За каждый факт неисполнения или ненадлежащего исполнения </w:t>
      </w:r>
      <w:r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92278C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>
        <w:rPr>
          <w:rFonts w:ascii="Times New Roman" w:eastAsiaTheme="minorEastAsia" w:hAnsi="Times New Roman" w:cs="Times New Roman"/>
          <w:lang w:eastAsia="ru-RU"/>
        </w:rPr>
        <w:t>Поставщик</w:t>
      </w:r>
      <w:r w:rsidRPr="0092278C">
        <w:rPr>
          <w:rFonts w:ascii="Times New Roman" w:eastAsiaTheme="minorEastAsia" w:hAnsi="Times New Roman" w:cs="Times New Roman"/>
          <w:lang w:eastAsia="ru-RU"/>
        </w:rPr>
        <w:t xml:space="preserve"> выплачивает Заказчику штраф в соответствии с Постановлением Правительства Российской Федерации от 30 август</w:t>
      </w:r>
      <w:r w:rsidR="00E1474E">
        <w:rPr>
          <w:rFonts w:ascii="Times New Roman" w:eastAsiaTheme="minorEastAsia" w:hAnsi="Times New Roman" w:cs="Times New Roman"/>
          <w:lang w:eastAsia="ru-RU"/>
        </w:rPr>
        <w:t>а</w:t>
      </w:r>
      <w:r w:rsidRPr="0092278C">
        <w:rPr>
          <w:rFonts w:ascii="Times New Roman" w:eastAsiaTheme="minorEastAsia" w:hAnsi="Times New Roman" w:cs="Times New Roman"/>
          <w:lang w:eastAsia="ru-RU"/>
        </w:rPr>
        <w:t xml:space="preserve">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3ED78D59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6E56626D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030ADA4D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52656243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16777737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00253F6B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2FFE9575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54B87C13" w14:textId="77777777" w:rsidR="0092278C" w:rsidRP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03CD6CBF" w14:textId="77777777" w:rsidR="0092278C" w:rsidRDefault="0092278C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2278C">
        <w:rPr>
          <w:rFonts w:ascii="Times New Roman" w:eastAsiaTheme="minorEastAsia" w:hAnsi="Times New Roman" w:cs="Times New Roman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3E816C62" w14:textId="7AD193A8" w:rsidR="0050664E" w:rsidRPr="0050664E" w:rsidRDefault="0050664E" w:rsidP="00922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0627CE7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4027423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D23A27A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1B1CF72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141EB3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18EA176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679032D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1FA4D73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1A7A003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5567ADE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058741ED" w:rsidR="009712BC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7.10. Поставщик самостоятельно несет ответственность перед соисполнителями за выполнение </w:t>
      </w:r>
      <w:r w:rsidRPr="0050664E">
        <w:rPr>
          <w:rFonts w:ascii="Times New Roman" w:eastAsiaTheme="minorEastAsia" w:hAnsi="Times New Roman" w:cs="Times New Roman"/>
          <w:lang w:eastAsia="ru-RU"/>
        </w:rPr>
        <w:lastRenderedPageBreak/>
        <w:t>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30F8CDC2" w14:textId="77777777" w:rsidR="0050664E" w:rsidRPr="00EB6F20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898E803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Поставщик предоставляет обеспечение исполнения Контракта в виде банковской гарантии или внесения денежных средств на указанный Заказчиком счет на сумму </w:t>
      </w:r>
      <w:r w:rsidR="00616923" w:rsidRPr="00616923">
        <w:rPr>
          <w:rFonts w:ascii="Times New Roman" w:eastAsiaTheme="minorEastAsia" w:hAnsi="Times New Roman" w:cs="Times New Roman"/>
          <w:lang w:eastAsia="ru-RU"/>
        </w:rPr>
        <w:t>20 177,17 руб. (двадцать тысяч сто с</w:t>
      </w:r>
      <w:r w:rsidR="00616923">
        <w:rPr>
          <w:rFonts w:ascii="Times New Roman" w:eastAsiaTheme="minorEastAsia" w:hAnsi="Times New Roman" w:cs="Times New Roman"/>
          <w:lang w:eastAsia="ru-RU"/>
        </w:rPr>
        <w:t>емьдесят семь рублей 17 копеек),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14F7E967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F919C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Default="00FB0B2E" w:rsidP="009712BC"/>
    <w:p w14:paraId="2E7B5F75" w14:textId="77777777" w:rsidR="008F6DB3" w:rsidRPr="00EB6F20" w:rsidRDefault="008F6DB3" w:rsidP="009712BC"/>
    <w:p w14:paraId="3EE966DD" w14:textId="77777777" w:rsidR="00011C2E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AE4E52A" w14:textId="77777777" w:rsidR="00011C2E" w:rsidRDefault="00011C2E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1B1BF724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87"/>
        <w:gridCol w:w="992"/>
        <w:gridCol w:w="1083"/>
        <w:gridCol w:w="1354"/>
        <w:gridCol w:w="1761"/>
      </w:tblGrid>
      <w:tr w:rsidR="00533C66" w:rsidRPr="00EB6F20" w14:paraId="28A61C6D" w14:textId="77777777" w:rsidTr="00533C66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533C66" w:rsidRPr="00EB6F20" w:rsidRDefault="00533C66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87" w:type="dxa"/>
          </w:tcPr>
          <w:p w14:paraId="4010FFAC" w14:textId="718C5A75" w:rsidR="00533C66" w:rsidRPr="00EB6F20" w:rsidRDefault="00533C66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992" w:type="dxa"/>
            <w:vAlign w:val="center"/>
          </w:tcPr>
          <w:p w14:paraId="672D4B1D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533C66" w:rsidRPr="00EB6F20" w14:paraId="2C603E71" w14:textId="77777777" w:rsidTr="00533C66">
        <w:trPr>
          <w:trHeight w:val="390"/>
        </w:trPr>
        <w:tc>
          <w:tcPr>
            <w:tcW w:w="540" w:type="dxa"/>
          </w:tcPr>
          <w:p w14:paraId="079D5080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2779C730" w14:textId="6584CC92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DB314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2B4E5653" w14:textId="77777777" w:rsidTr="00533C66">
        <w:trPr>
          <w:trHeight w:val="390"/>
        </w:trPr>
        <w:tc>
          <w:tcPr>
            <w:tcW w:w="540" w:type="dxa"/>
          </w:tcPr>
          <w:p w14:paraId="0348350B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4785654F" w14:textId="149B4CA5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8C67F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4B853D43" w14:textId="77777777" w:rsidTr="00533C66">
        <w:trPr>
          <w:trHeight w:val="390"/>
        </w:trPr>
        <w:tc>
          <w:tcPr>
            <w:tcW w:w="540" w:type="dxa"/>
          </w:tcPr>
          <w:p w14:paraId="77528969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620F2748" w14:textId="0D810FF9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62ECF7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7EC8574C" w14:textId="77777777" w:rsidTr="00533C66">
        <w:trPr>
          <w:trHeight w:val="390"/>
        </w:trPr>
        <w:tc>
          <w:tcPr>
            <w:tcW w:w="540" w:type="dxa"/>
          </w:tcPr>
          <w:p w14:paraId="518C060F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23CDAA3D" w14:textId="7A1638EF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08A733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533C66" w:rsidRPr="00EB6F20" w:rsidRDefault="00533C66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EF09" w14:textId="77777777" w:rsidR="00F77550" w:rsidRDefault="00F77550">
      <w:pPr>
        <w:spacing w:after="0" w:line="240" w:lineRule="auto"/>
      </w:pPr>
      <w:r>
        <w:separator/>
      </w:r>
    </w:p>
  </w:endnote>
  <w:endnote w:type="continuationSeparator" w:id="0">
    <w:p w14:paraId="1217772A" w14:textId="77777777" w:rsidR="00F77550" w:rsidRDefault="00F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204D" w14:textId="77777777" w:rsidR="00F77550" w:rsidRDefault="00F77550">
      <w:pPr>
        <w:spacing w:after="0" w:line="240" w:lineRule="auto"/>
      </w:pPr>
      <w:r>
        <w:separator/>
      </w:r>
    </w:p>
  </w:footnote>
  <w:footnote w:type="continuationSeparator" w:id="0">
    <w:p w14:paraId="47FAA869" w14:textId="77777777" w:rsidR="00F77550" w:rsidRDefault="00F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44ADB"/>
    <w:rsid w:val="00180BC2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65A50"/>
    <w:rsid w:val="0038747A"/>
    <w:rsid w:val="003A4FF8"/>
    <w:rsid w:val="003C324D"/>
    <w:rsid w:val="0041640C"/>
    <w:rsid w:val="00420BBA"/>
    <w:rsid w:val="00430071"/>
    <w:rsid w:val="0043495B"/>
    <w:rsid w:val="00476718"/>
    <w:rsid w:val="004B1060"/>
    <w:rsid w:val="004F3D1D"/>
    <w:rsid w:val="0050664E"/>
    <w:rsid w:val="00521A75"/>
    <w:rsid w:val="00533C66"/>
    <w:rsid w:val="0056195B"/>
    <w:rsid w:val="0061187B"/>
    <w:rsid w:val="00616923"/>
    <w:rsid w:val="00633EBF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571E9"/>
    <w:rsid w:val="008A55B7"/>
    <w:rsid w:val="008A5FBD"/>
    <w:rsid w:val="008F6DB3"/>
    <w:rsid w:val="0092278C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BF5CD0"/>
    <w:rsid w:val="00C25163"/>
    <w:rsid w:val="00C677FE"/>
    <w:rsid w:val="00C86081"/>
    <w:rsid w:val="00C91611"/>
    <w:rsid w:val="00C97DDB"/>
    <w:rsid w:val="00CA608D"/>
    <w:rsid w:val="00CF4BC3"/>
    <w:rsid w:val="00D31C8A"/>
    <w:rsid w:val="00D437B1"/>
    <w:rsid w:val="00D649B8"/>
    <w:rsid w:val="00D7246F"/>
    <w:rsid w:val="00D72EDE"/>
    <w:rsid w:val="00DA1262"/>
    <w:rsid w:val="00DB7855"/>
    <w:rsid w:val="00DC7CFB"/>
    <w:rsid w:val="00E1474E"/>
    <w:rsid w:val="00E3025B"/>
    <w:rsid w:val="00E62BE4"/>
    <w:rsid w:val="00EA3E66"/>
    <w:rsid w:val="00EB380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77550"/>
    <w:rsid w:val="00F85387"/>
    <w:rsid w:val="00F919CA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F596588B-5F03-4FDD-9937-1C46739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43</cp:revision>
  <cp:lastPrinted>2019-06-06T12:52:00Z</cp:lastPrinted>
  <dcterms:created xsi:type="dcterms:W3CDTF">2019-04-23T12:13:00Z</dcterms:created>
  <dcterms:modified xsi:type="dcterms:W3CDTF">2019-06-07T11:38:00Z</dcterms:modified>
</cp:coreProperties>
</file>